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71" w:rsidRPr="00383171" w:rsidRDefault="00996D2F" w:rsidP="00996D2F">
      <w:pPr>
        <w:spacing w:before="0" w:after="100" w:line="240" w:lineRule="auto"/>
        <w:jc w:val="center"/>
        <w:rPr>
          <w:caps/>
          <w:spacing w:val="15"/>
          <w:shd w:val="clear" w:color="auto" w:fill="C0FFFB" w:themeFill="accent1" w:themeFillTint="33"/>
        </w:rPr>
      </w:pPr>
      <w:r>
        <w:rPr>
          <w:rFonts w:asciiTheme="majorHAnsi" w:eastAsiaTheme="majorEastAsia" w:hAnsiTheme="majorHAnsi" w:cstheme="majorBidi"/>
          <w:noProof/>
          <w:color w:val="00948B" w:themeColor="accent1" w:themeShade="BF"/>
          <w:sz w:val="26"/>
          <w:szCs w:val="26"/>
          <w:lang w:eastAsia="en-GB"/>
        </w:rPr>
        <w:drawing>
          <wp:inline distT="0" distB="0" distL="0" distR="0">
            <wp:extent cx="1428650" cy="381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od-Logo-Pin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66" cy="3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9B8" w:rsidRPr="00383171">
        <w:rPr>
          <w:rFonts w:asciiTheme="majorHAnsi" w:eastAsiaTheme="majorEastAsia" w:hAnsiTheme="majorHAnsi" w:cstheme="majorBidi"/>
          <w:noProof/>
          <w:color w:val="00948B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56DBDB" wp14:editId="173D4ACF">
                <wp:simplePos x="0" y="0"/>
                <wp:positionH relativeFrom="column">
                  <wp:posOffset>-19050</wp:posOffset>
                </wp:positionH>
                <wp:positionV relativeFrom="paragraph">
                  <wp:posOffset>-226695</wp:posOffset>
                </wp:positionV>
                <wp:extent cx="1819275" cy="733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19B8" w:rsidRPr="007719B8" w:rsidRDefault="007719B8" w:rsidP="007719B8">
                            <w:pPr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:rsidR="00383171" w:rsidRPr="00C3200B" w:rsidRDefault="00383171" w:rsidP="00383171">
                            <w:pPr>
                              <w:pStyle w:val="Heading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Volunteering Roles</w:t>
                            </w:r>
                          </w:p>
                          <w:p w:rsidR="00383171" w:rsidRDefault="00383171" w:rsidP="00383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DB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-17.85pt;width:143.25pt;height:5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" fillcolor="window" strokecolor="window" strokeweight=".5pt">
                <v:textbox>
                  <w:txbxContent>
                    <w:p w:rsidR="007719B8" w:rsidRPr="007719B8" w:rsidRDefault="007719B8" w:rsidP="007719B8">
                      <w:pPr>
                        <w:spacing w:before="0" w:after="0" w:line="240" w:lineRule="auto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en-GB"/>
                        </w:rPr>
                      </w:pPr>
                    </w:p>
                    <w:p w:rsidR="00383171" w:rsidRPr="00C3200B" w:rsidRDefault="00383171" w:rsidP="00383171">
                      <w:pPr>
                        <w:pStyle w:val="Heading1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Volunteering Roles</w:t>
                      </w:r>
                    </w:p>
                    <w:p w:rsidR="00383171" w:rsidRDefault="00383171" w:rsidP="00383171"/>
                  </w:txbxContent>
                </v:textbox>
              </v:shape>
            </w:pict>
          </mc:Fallback>
        </mc:AlternateContent>
      </w:r>
    </w:p>
    <w:p w:rsidR="00383171" w:rsidRPr="00383171" w:rsidRDefault="00383171" w:rsidP="00383171">
      <w:pPr>
        <w:spacing w:before="0" w:after="100" w:line="240" w:lineRule="auto"/>
        <w:rPr>
          <w:caps/>
          <w:spacing w:val="15"/>
          <w:shd w:val="clear" w:color="auto" w:fill="C0FFFB" w:themeFill="accent1" w:themeFillTint="33"/>
        </w:rPr>
      </w:pPr>
    </w:p>
    <w:p w:rsidR="00383171" w:rsidRPr="00383171" w:rsidRDefault="00383171" w:rsidP="00383171">
      <w:pPr>
        <w:pBdr>
          <w:top w:val="single" w:sz="6" w:space="2" w:color="00C6BB" w:themeColor="accent1"/>
        </w:pBdr>
        <w:spacing w:before="0" w:after="100" w:line="240" w:lineRule="auto"/>
        <w:jc w:val="center"/>
        <w:outlineLvl w:val="2"/>
        <w:rPr>
          <w:caps/>
          <w:color w:val="00625C" w:themeColor="accent1" w:themeShade="7F"/>
          <w:spacing w:val="15"/>
        </w:rPr>
      </w:pPr>
    </w:p>
    <w:p w:rsidR="00383171" w:rsidRPr="00B46705" w:rsidRDefault="00996D2F" w:rsidP="00B46705">
      <w:pPr>
        <w:pBdr>
          <w:top w:val="dotted" w:sz="6" w:space="2" w:color="00C6BB" w:themeColor="accent1"/>
        </w:pBdr>
        <w:spacing w:before="0" w:after="0" w:line="240" w:lineRule="auto"/>
        <w:outlineLvl w:val="3"/>
        <w:rPr>
          <w:b/>
          <w:caps/>
          <w:color w:val="00948B" w:themeColor="accent1" w:themeShade="BF"/>
          <w:spacing w:val="10"/>
          <w:sz w:val="28"/>
          <w:szCs w:val="28"/>
        </w:rPr>
      </w:pPr>
      <w:r>
        <w:rPr>
          <w:b/>
          <w:caps/>
          <w:color w:val="00948B" w:themeColor="accent1" w:themeShade="BF"/>
          <w:spacing w:val="10"/>
          <w:sz w:val="28"/>
          <w:szCs w:val="28"/>
        </w:rPr>
        <w:t xml:space="preserve">VOLUNTEER: </w:t>
      </w:r>
      <w:r w:rsidR="00456386">
        <w:rPr>
          <w:b/>
          <w:caps/>
          <w:color w:val="00948B" w:themeColor="accent1" w:themeShade="BF"/>
          <w:spacing w:val="10"/>
          <w:sz w:val="28"/>
          <w:szCs w:val="28"/>
        </w:rPr>
        <w:t>EVENTS</w:t>
      </w:r>
      <w:r>
        <w:rPr>
          <w:b/>
          <w:caps/>
          <w:color w:val="00948B" w:themeColor="accent1" w:themeShade="BF"/>
          <w:spacing w:val="10"/>
          <w:sz w:val="28"/>
          <w:szCs w:val="28"/>
        </w:rPr>
        <w:t>,</w:t>
      </w:r>
      <w:bookmarkStart w:id="0" w:name="_GoBack"/>
      <w:bookmarkEnd w:id="0"/>
      <w:r w:rsidR="00456386">
        <w:rPr>
          <w:b/>
          <w:caps/>
          <w:color w:val="00948B" w:themeColor="accent1" w:themeShade="BF"/>
          <w:spacing w:val="10"/>
          <w:sz w:val="28"/>
          <w:szCs w:val="28"/>
        </w:rPr>
        <w:t xml:space="preserve"> STALLS</w:t>
      </w:r>
      <w:r w:rsidR="00B46705">
        <w:rPr>
          <w:b/>
          <w:caps/>
          <w:color w:val="00948B" w:themeColor="accent1" w:themeShade="BF"/>
          <w:spacing w:val="10"/>
          <w:sz w:val="28"/>
          <w:szCs w:val="28"/>
        </w:rPr>
        <w:t>, networking &amp; s</w:t>
      </w:r>
      <w:r>
        <w:rPr>
          <w:b/>
          <w:caps/>
          <w:color w:val="00948B" w:themeColor="accent1" w:themeShade="BF"/>
          <w:spacing w:val="10"/>
          <w:sz w:val="28"/>
          <w:szCs w:val="28"/>
        </w:rPr>
        <w:t>ervice s</w:t>
      </w:r>
      <w:r w:rsidR="00B46705">
        <w:rPr>
          <w:b/>
          <w:caps/>
          <w:color w:val="00948B" w:themeColor="accent1" w:themeShade="BF"/>
          <w:spacing w:val="10"/>
          <w:sz w:val="28"/>
          <w:szCs w:val="28"/>
        </w:rPr>
        <w:t xml:space="preserve">upporting </w:t>
      </w:r>
    </w:p>
    <w:p w:rsidR="00383171" w:rsidRPr="00383171" w:rsidRDefault="00383171" w:rsidP="00383171">
      <w:pPr>
        <w:spacing w:after="0"/>
        <w:rPr>
          <w:sz w:val="22"/>
          <w:szCs w:val="22"/>
        </w:rPr>
      </w:pPr>
      <w:r w:rsidRPr="00383171">
        <w:rPr>
          <w:b/>
          <w:color w:val="00948B" w:themeColor="accent1" w:themeShade="BF"/>
          <w:sz w:val="24"/>
          <w:szCs w:val="24"/>
        </w:rPr>
        <w:t>DEPARTMENT:</w:t>
      </w:r>
      <w:r w:rsidRPr="00383171">
        <w:rPr>
          <w:sz w:val="24"/>
          <w:szCs w:val="24"/>
        </w:rPr>
        <w:tab/>
      </w:r>
      <w:r w:rsidR="007719B8">
        <w:rPr>
          <w:sz w:val="22"/>
          <w:szCs w:val="22"/>
        </w:rPr>
        <w:t xml:space="preserve">Gwent </w:t>
      </w:r>
      <w:proofErr w:type="spellStart"/>
      <w:r w:rsidR="007719B8">
        <w:rPr>
          <w:sz w:val="22"/>
          <w:szCs w:val="22"/>
        </w:rPr>
        <w:t>Ngage</w:t>
      </w:r>
      <w:proofErr w:type="spellEnd"/>
    </w:p>
    <w:p w:rsidR="00383171" w:rsidRPr="00383171" w:rsidRDefault="00383171" w:rsidP="00383171">
      <w:pPr>
        <w:spacing w:after="0"/>
        <w:rPr>
          <w:sz w:val="22"/>
          <w:szCs w:val="22"/>
        </w:rPr>
      </w:pPr>
      <w:r w:rsidRPr="00383171">
        <w:rPr>
          <w:b/>
          <w:color w:val="00948B" w:themeColor="accent1" w:themeShade="BF"/>
          <w:sz w:val="22"/>
          <w:szCs w:val="22"/>
        </w:rPr>
        <w:t>LOCATION:</w:t>
      </w:r>
      <w:r w:rsidRPr="00383171">
        <w:rPr>
          <w:b/>
          <w:sz w:val="22"/>
          <w:szCs w:val="22"/>
        </w:rPr>
        <w:tab/>
      </w:r>
      <w:r w:rsidR="007719B8">
        <w:rPr>
          <w:sz w:val="22"/>
          <w:szCs w:val="22"/>
        </w:rPr>
        <w:tab/>
        <w:t>Gwent</w:t>
      </w:r>
    </w:p>
    <w:p w:rsidR="00383171" w:rsidRPr="00383171" w:rsidRDefault="00383171" w:rsidP="00383171">
      <w:pPr>
        <w:spacing w:after="0"/>
        <w:rPr>
          <w:sz w:val="22"/>
          <w:szCs w:val="22"/>
        </w:rPr>
      </w:pPr>
      <w:r w:rsidRPr="00383171">
        <w:rPr>
          <w:b/>
          <w:color w:val="00948B" w:themeColor="accent1" w:themeShade="BF"/>
          <w:sz w:val="22"/>
          <w:szCs w:val="22"/>
        </w:rPr>
        <w:t>REPORTING TO:</w:t>
      </w:r>
      <w:r w:rsidRPr="00383171">
        <w:rPr>
          <w:b/>
          <w:sz w:val="22"/>
          <w:szCs w:val="22"/>
        </w:rPr>
        <w:tab/>
      </w:r>
      <w:r w:rsidRPr="00383171">
        <w:rPr>
          <w:sz w:val="22"/>
          <w:szCs w:val="22"/>
        </w:rPr>
        <w:t>Assigned Volunteer Link Worker</w:t>
      </w:r>
    </w:p>
    <w:p w:rsidR="00383171" w:rsidRPr="00383171" w:rsidRDefault="00383171" w:rsidP="00383171">
      <w:pPr>
        <w:pBdr>
          <w:top w:val="single" w:sz="24" w:space="0" w:color="00C6BB" w:themeColor="accent1"/>
          <w:left w:val="single" w:sz="24" w:space="0" w:color="00C6BB" w:themeColor="accent1"/>
          <w:bottom w:val="single" w:sz="24" w:space="0" w:color="00C6BB" w:themeColor="accent1"/>
          <w:right w:val="single" w:sz="24" w:space="0" w:color="00C6BB" w:themeColor="accent1"/>
        </w:pBdr>
        <w:shd w:val="clear" w:color="auto" w:fill="00C6BB" w:themeFill="accent1"/>
        <w:spacing w:after="0"/>
        <w:outlineLvl w:val="0"/>
        <w:rPr>
          <w:caps/>
          <w:color w:val="FFFFFF" w:themeColor="background1"/>
          <w:spacing w:val="15"/>
          <w:sz w:val="22"/>
          <w:szCs w:val="22"/>
        </w:rPr>
      </w:pPr>
      <w:r w:rsidRPr="00383171">
        <w:rPr>
          <w:caps/>
          <w:color w:val="FFFFFF" w:themeColor="background1"/>
          <w:spacing w:val="15"/>
          <w:sz w:val="22"/>
          <w:szCs w:val="22"/>
        </w:rPr>
        <w:t>Purpose</w:t>
      </w:r>
    </w:p>
    <w:p w:rsidR="0093759A" w:rsidRPr="005150EA" w:rsidRDefault="0093759A" w:rsidP="0093759A">
      <w:pPr>
        <w:pStyle w:val="Heading4"/>
        <w:spacing w:before="0" w:line="240" w:lineRule="auto"/>
        <w:rPr>
          <w:b/>
          <w:sz w:val="24"/>
          <w:szCs w:val="24"/>
        </w:rPr>
      </w:pPr>
    </w:p>
    <w:p w:rsidR="0093759A" w:rsidRDefault="0093759A" w:rsidP="0093759A">
      <w:pPr>
        <w:spacing w:before="0" w:after="0" w:line="240" w:lineRule="auto"/>
        <w:jc w:val="both"/>
        <w:rPr>
          <w:b/>
          <w:sz w:val="16"/>
          <w:szCs w:val="16"/>
        </w:rPr>
      </w:pPr>
      <w:r>
        <w:t>All volunteers may be asked from time to time to attend events and man stalls.</w:t>
      </w:r>
      <w:r w:rsidR="004F4D95">
        <w:t xml:space="preserve">  Other duties may include admin support, which will also include covering the Single Point </w:t>
      </w:r>
      <w:r w:rsidR="00B46705">
        <w:t>of</w:t>
      </w:r>
      <w:r w:rsidR="004F4D95">
        <w:t xml:space="preserve"> Contact telephone, supporting case workers with 1:1 </w:t>
      </w:r>
      <w:proofErr w:type="gramStart"/>
      <w:r w:rsidR="004F4D95">
        <w:t>appointments</w:t>
      </w:r>
      <w:proofErr w:type="gramEnd"/>
      <w:r w:rsidR="004F4D95">
        <w:t>, assisting with social media campaigns and transporting young people to activities.</w:t>
      </w:r>
      <w:r>
        <w:t xml:space="preserve">  It w</w:t>
      </w:r>
      <w:r w:rsidR="007719B8">
        <w:t>ill be the responsibility of the</w:t>
      </w:r>
      <w:r>
        <w:t xml:space="preserve"> </w:t>
      </w:r>
      <w:r w:rsidR="007719B8">
        <w:t>Barod</w:t>
      </w:r>
      <w:r>
        <w:t xml:space="preserve"> or partner agency staff member to ensure you have all the information you need prior to attending an event</w:t>
      </w:r>
      <w:r w:rsidR="004F4D95">
        <w:t xml:space="preserve"> or any other activity</w:t>
      </w:r>
      <w:r>
        <w:t xml:space="preserve">.  </w:t>
      </w:r>
      <w:r>
        <w:rPr>
          <w:b/>
        </w:rPr>
        <w:t>This is relevant</w:t>
      </w:r>
      <w:r w:rsidRPr="00EA2F24">
        <w:rPr>
          <w:b/>
        </w:rPr>
        <w:t xml:space="preserve"> for all volunteers who attend events.</w:t>
      </w:r>
    </w:p>
    <w:p w:rsidR="0093759A" w:rsidRPr="001E6576" w:rsidRDefault="0093759A" w:rsidP="0093759A">
      <w:pPr>
        <w:spacing w:before="0" w:after="0" w:line="240" w:lineRule="auto"/>
        <w:rPr>
          <w:b/>
          <w:sz w:val="16"/>
          <w:szCs w:val="16"/>
        </w:rPr>
      </w:pPr>
    </w:p>
    <w:p w:rsidR="0093759A" w:rsidRPr="00D80F5F" w:rsidRDefault="0093759A" w:rsidP="0093759A">
      <w:pPr>
        <w:pStyle w:val="Heading3"/>
        <w:spacing w:before="0" w:line="240" w:lineRule="auto"/>
      </w:pPr>
      <w:r w:rsidRPr="00D80F5F">
        <w:t>Key tasks:</w:t>
      </w:r>
    </w:p>
    <w:p w:rsidR="0093759A" w:rsidRDefault="0093759A" w:rsidP="0093759A">
      <w:pPr>
        <w:pStyle w:val="ListParagraph"/>
        <w:numPr>
          <w:ilvl w:val="0"/>
          <w:numId w:val="2"/>
        </w:numPr>
        <w:spacing w:before="0" w:after="0" w:line="240" w:lineRule="auto"/>
      </w:pPr>
      <w:r>
        <w:t xml:space="preserve">Welcome people attending and talk </w:t>
      </w:r>
      <w:r w:rsidR="007719B8">
        <w:t xml:space="preserve">about the specific activity, Gwent </w:t>
      </w:r>
      <w:proofErr w:type="spellStart"/>
      <w:r w:rsidR="007719B8">
        <w:t>Ngage</w:t>
      </w:r>
      <w:proofErr w:type="spellEnd"/>
      <w:r>
        <w:t xml:space="preserve"> </w:t>
      </w:r>
      <w:r w:rsidR="007719B8">
        <w:t xml:space="preserve">and Barod </w:t>
      </w:r>
      <w:r>
        <w:t>in general</w:t>
      </w:r>
    </w:p>
    <w:p w:rsidR="0093759A" w:rsidRDefault="0093759A" w:rsidP="0093759A">
      <w:pPr>
        <w:pStyle w:val="ListParagraph"/>
        <w:numPr>
          <w:ilvl w:val="0"/>
          <w:numId w:val="2"/>
        </w:numPr>
        <w:spacing w:before="0" w:after="0" w:line="240" w:lineRule="auto"/>
      </w:pPr>
      <w:r>
        <w:t>Keep the area/ stall/ table clean, tidy and presentable always</w:t>
      </w:r>
    </w:p>
    <w:p w:rsidR="0093759A" w:rsidRDefault="0093759A" w:rsidP="0093759A">
      <w:pPr>
        <w:pStyle w:val="ListParagraph"/>
        <w:numPr>
          <w:ilvl w:val="0"/>
          <w:numId w:val="2"/>
        </w:numPr>
        <w:spacing w:before="0" w:after="0" w:line="240" w:lineRule="auto"/>
      </w:pPr>
      <w:r>
        <w:t>Follow any health and safety rules provided by the venue</w:t>
      </w:r>
    </w:p>
    <w:p w:rsidR="0093759A" w:rsidRDefault="0093759A" w:rsidP="0093759A">
      <w:pPr>
        <w:pStyle w:val="ListParagraph"/>
        <w:numPr>
          <w:ilvl w:val="0"/>
          <w:numId w:val="2"/>
        </w:numPr>
        <w:spacing w:before="0" w:after="0" w:line="240" w:lineRule="auto"/>
      </w:pPr>
      <w:r>
        <w:t>Be involved in activities, support the facilitator in any planned</w:t>
      </w:r>
      <w:r w:rsidRPr="00EA2F24">
        <w:t xml:space="preserve"> </w:t>
      </w:r>
      <w:r>
        <w:t>activities</w:t>
      </w:r>
    </w:p>
    <w:p w:rsidR="0093759A" w:rsidRDefault="0093759A" w:rsidP="0093759A">
      <w:pPr>
        <w:pStyle w:val="ListParagraph"/>
        <w:numPr>
          <w:ilvl w:val="0"/>
          <w:numId w:val="2"/>
        </w:numPr>
        <w:spacing w:before="0" w:after="0" w:line="240" w:lineRule="auto"/>
      </w:pPr>
      <w:r>
        <w:t>Be a g</w:t>
      </w:r>
      <w:r w:rsidR="007719B8">
        <w:t xml:space="preserve">ood ambassador for Gwent </w:t>
      </w:r>
      <w:proofErr w:type="spellStart"/>
      <w:r w:rsidR="007719B8">
        <w:t>Ngage</w:t>
      </w:r>
      <w:proofErr w:type="spellEnd"/>
      <w:r w:rsidR="007719B8">
        <w:t>, Barod</w:t>
      </w:r>
      <w:r>
        <w:t xml:space="preserve"> and its services </w:t>
      </w:r>
    </w:p>
    <w:p w:rsidR="007719B8" w:rsidRDefault="007719B8" w:rsidP="0093759A">
      <w:pPr>
        <w:pStyle w:val="ListParagraph"/>
        <w:numPr>
          <w:ilvl w:val="0"/>
          <w:numId w:val="2"/>
        </w:numPr>
        <w:spacing w:before="0" w:after="0" w:line="240" w:lineRule="auto"/>
      </w:pPr>
      <w:r>
        <w:t xml:space="preserve">Promote Gwent </w:t>
      </w:r>
      <w:proofErr w:type="spellStart"/>
      <w:r>
        <w:t>Ngage</w:t>
      </w:r>
      <w:proofErr w:type="spellEnd"/>
      <w:r>
        <w:t xml:space="preserve"> and its services to partner agencies</w:t>
      </w:r>
    </w:p>
    <w:p w:rsidR="007719B8" w:rsidRPr="001E6576" w:rsidRDefault="007719B8" w:rsidP="0093759A">
      <w:pPr>
        <w:pStyle w:val="ListParagraph"/>
        <w:numPr>
          <w:ilvl w:val="0"/>
          <w:numId w:val="2"/>
        </w:numPr>
        <w:spacing w:before="0" w:after="0" w:line="240" w:lineRule="auto"/>
      </w:pPr>
      <w:r>
        <w:t>Deliver promotional material to partner agencies</w:t>
      </w:r>
    </w:p>
    <w:p w:rsidR="0093759A" w:rsidRDefault="0093759A" w:rsidP="0093759A">
      <w:pPr>
        <w:pStyle w:val="ListParagraph"/>
        <w:spacing w:before="0" w:after="0" w:line="240" w:lineRule="auto"/>
      </w:pPr>
    </w:p>
    <w:p w:rsidR="0093759A" w:rsidRPr="00D80F5F" w:rsidRDefault="0093759A" w:rsidP="0093759A">
      <w:pPr>
        <w:pStyle w:val="Heading3"/>
        <w:spacing w:before="0" w:line="240" w:lineRule="auto"/>
      </w:pPr>
      <w:r w:rsidRPr="00D80F5F">
        <w:t>Key Skills:</w:t>
      </w:r>
    </w:p>
    <w:p w:rsidR="0093759A" w:rsidRDefault="0093759A" w:rsidP="0093759A">
      <w:pPr>
        <w:pStyle w:val="ListParagraph"/>
        <w:numPr>
          <w:ilvl w:val="0"/>
          <w:numId w:val="8"/>
        </w:numPr>
        <w:spacing w:before="0" w:after="0" w:line="240" w:lineRule="auto"/>
      </w:pPr>
      <w:r>
        <w:t>Good organisational skills</w:t>
      </w:r>
    </w:p>
    <w:p w:rsidR="0093759A" w:rsidRDefault="0093759A" w:rsidP="0093759A">
      <w:pPr>
        <w:pStyle w:val="ListParagraph"/>
        <w:numPr>
          <w:ilvl w:val="0"/>
          <w:numId w:val="8"/>
        </w:numPr>
        <w:spacing w:before="0" w:after="0" w:line="240" w:lineRule="auto"/>
      </w:pPr>
      <w:r>
        <w:t>A confident and friendly manner</w:t>
      </w:r>
    </w:p>
    <w:p w:rsidR="0093759A" w:rsidRDefault="0093759A" w:rsidP="0093759A">
      <w:pPr>
        <w:pStyle w:val="ListParagraph"/>
        <w:numPr>
          <w:ilvl w:val="0"/>
          <w:numId w:val="8"/>
        </w:numPr>
        <w:spacing w:before="0" w:after="0" w:line="240" w:lineRule="auto"/>
      </w:pPr>
      <w:r>
        <w:t xml:space="preserve">Enthusiasm for working with people in the community </w:t>
      </w:r>
    </w:p>
    <w:p w:rsidR="0093759A" w:rsidRDefault="0093759A" w:rsidP="0093759A">
      <w:pPr>
        <w:pStyle w:val="ListParagraph"/>
        <w:numPr>
          <w:ilvl w:val="0"/>
          <w:numId w:val="8"/>
        </w:numPr>
        <w:spacing w:before="0" w:after="0" w:line="240" w:lineRule="auto"/>
      </w:pPr>
      <w:r>
        <w:t>Good communication skills</w:t>
      </w:r>
    </w:p>
    <w:p w:rsidR="0093759A" w:rsidRDefault="0093759A" w:rsidP="0093759A">
      <w:pPr>
        <w:pStyle w:val="ListParagraph"/>
        <w:numPr>
          <w:ilvl w:val="0"/>
          <w:numId w:val="8"/>
        </w:numPr>
        <w:spacing w:before="0" w:after="0" w:line="240" w:lineRule="auto"/>
      </w:pPr>
      <w:r>
        <w:t>A willingness to learn about substances, their effects and associated health issues</w:t>
      </w:r>
    </w:p>
    <w:p w:rsidR="0093759A" w:rsidRDefault="0093759A" w:rsidP="0093759A">
      <w:pPr>
        <w:pStyle w:val="ListParagraph"/>
        <w:numPr>
          <w:ilvl w:val="0"/>
          <w:numId w:val="8"/>
        </w:numPr>
        <w:spacing w:before="0" w:after="0" w:line="240" w:lineRule="auto"/>
      </w:pPr>
      <w:r>
        <w:t>Empathy and a non-judgemental approach</w:t>
      </w:r>
    </w:p>
    <w:p w:rsidR="0093759A" w:rsidRDefault="0093759A" w:rsidP="0093759A">
      <w:pPr>
        <w:pStyle w:val="ListParagraph"/>
        <w:numPr>
          <w:ilvl w:val="0"/>
          <w:numId w:val="8"/>
        </w:numPr>
        <w:spacing w:before="0" w:after="0" w:line="240" w:lineRule="auto"/>
      </w:pPr>
      <w:r>
        <w:t xml:space="preserve">The ability to participate in line with </w:t>
      </w:r>
      <w:r w:rsidR="007719B8">
        <w:t>Barod</w:t>
      </w:r>
      <w:r>
        <w:t xml:space="preserve"> guidelines including Confidentiality and Boundaries</w:t>
      </w:r>
    </w:p>
    <w:p w:rsidR="0093759A" w:rsidRDefault="0093759A" w:rsidP="00383171">
      <w:pPr>
        <w:jc w:val="both"/>
        <w:rPr>
          <w:sz w:val="22"/>
          <w:szCs w:val="22"/>
        </w:rPr>
      </w:pPr>
    </w:p>
    <w:p w:rsidR="008C41F1" w:rsidRPr="000D5C3A" w:rsidRDefault="008C41F1" w:rsidP="008C41F1">
      <w:pPr>
        <w:rPr>
          <w:b/>
          <w:sz w:val="24"/>
        </w:rPr>
      </w:pPr>
      <w:proofErr w:type="spellStart"/>
      <w:r w:rsidRPr="000D5C3A">
        <w:rPr>
          <w:b/>
          <w:sz w:val="24"/>
        </w:rPr>
        <w:t>Drugaid</w:t>
      </w:r>
      <w:proofErr w:type="spellEnd"/>
      <w:r w:rsidRPr="000D5C3A">
        <w:rPr>
          <w:b/>
          <w:sz w:val="24"/>
        </w:rPr>
        <w:t xml:space="preserve"> Risk Assessment</w:t>
      </w:r>
      <w:r>
        <w:rPr>
          <w:b/>
          <w:sz w:val="24"/>
        </w:rPr>
        <w:t xml:space="preserve"> – Volunteer Roles </w:t>
      </w:r>
    </w:p>
    <w:p w:rsidR="008C41F1" w:rsidRDefault="008C41F1" w:rsidP="008C4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3543"/>
        <w:gridCol w:w="3544"/>
        <w:gridCol w:w="3544"/>
      </w:tblGrid>
      <w:tr w:rsidR="008C41F1" w:rsidTr="00A314DA">
        <w:tc>
          <w:tcPr>
            <w:tcW w:w="3543" w:type="dxa"/>
            <w:shd w:val="clear" w:color="auto" w:fill="auto"/>
          </w:tcPr>
          <w:p w:rsidR="008C41F1" w:rsidRPr="00AD661E" w:rsidRDefault="008C41F1" w:rsidP="00A314DA">
            <w:pPr>
              <w:rPr>
                <w:b/>
              </w:rPr>
            </w:pPr>
            <w:r w:rsidRPr="00AD661E">
              <w:rPr>
                <w:b/>
              </w:rPr>
              <w:t>Role</w:t>
            </w:r>
          </w:p>
        </w:tc>
        <w:tc>
          <w:tcPr>
            <w:tcW w:w="3543" w:type="dxa"/>
            <w:shd w:val="clear" w:color="auto" w:fill="auto"/>
          </w:tcPr>
          <w:p w:rsidR="008C41F1" w:rsidRPr="00AD661E" w:rsidRDefault="008C41F1" w:rsidP="00A314DA">
            <w:pPr>
              <w:rPr>
                <w:b/>
              </w:rPr>
            </w:pPr>
            <w:r w:rsidRPr="00AD661E">
              <w:rPr>
                <w:b/>
              </w:rPr>
              <w:t>Undertaken by</w:t>
            </w:r>
          </w:p>
        </w:tc>
        <w:tc>
          <w:tcPr>
            <w:tcW w:w="3544" w:type="dxa"/>
            <w:shd w:val="clear" w:color="auto" w:fill="auto"/>
          </w:tcPr>
          <w:p w:rsidR="008C41F1" w:rsidRPr="00AD661E" w:rsidRDefault="008C41F1" w:rsidP="00A314DA">
            <w:pPr>
              <w:rPr>
                <w:b/>
              </w:rPr>
            </w:pPr>
            <w:r w:rsidRPr="00AD661E">
              <w:rPr>
                <w:b/>
              </w:rPr>
              <w:t>Date of Assessment</w:t>
            </w:r>
          </w:p>
        </w:tc>
        <w:tc>
          <w:tcPr>
            <w:tcW w:w="3544" w:type="dxa"/>
            <w:shd w:val="clear" w:color="auto" w:fill="auto"/>
          </w:tcPr>
          <w:p w:rsidR="008C41F1" w:rsidRPr="00AD661E" w:rsidRDefault="008C41F1" w:rsidP="00A314DA">
            <w:pPr>
              <w:rPr>
                <w:b/>
              </w:rPr>
            </w:pPr>
            <w:r w:rsidRPr="00AD661E">
              <w:rPr>
                <w:b/>
              </w:rPr>
              <w:t>Date of Review</w:t>
            </w:r>
          </w:p>
        </w:tc>
      </w:tr>
      <w:tr w:rsidR="008C41F1" w:rsidTr="00A314DA">
        <w:tc>
          <w:tcPr>
            <w:tcW w:w="3543" w:type="dxa"/>
            <w:shd w:val="clear" w:color="auto" w:fill="auto"/>
          </w:tcPr>
          <w:p w:rsidR="008C41F1" w:rsidRDefault="008C41F1" w:rsidP="00A314DA">
            <w:r>
              <w:t>Events and stalls</w:t>
            </w:r>
          </w:p>
        </w:tc>
        <w:tc>
          <w:tcPr>
            <w:tcW w:w="3543" w:type="dxa"/>
            <w:shd w:val="clear" w:color="auto" w:fill="auto"/>
          </w:tcPr>
          <w:p w:rsidR="008C41F1" w:rsidRDefault="008C41F1" w:rsidP="00A314DA"/>
        </w:tc>
        <w:tc>
          <w:tcPr>
            <w:tcW w:w="3544" w:type="dxa"/>
            <w:shd w:val="clear" w:color="auto" w:fill="auto"/>
          </w:tcPr>
          <w:p w:rsidR="008C41F1" w:rsidRDefault="008C41F1" w:rsidP="00A314DA"/>
        </w:tc>
        <w:tc>
          <w:tcPr>
            <w:tcW w:w="3544" w:type="dxa"/>
            <w:shd w:val="clear" w:color="auto" w:fill="auto"/>
          </w:tcPr>
          <w:p w:rsidR="008C41F1" w:rsidRDefault="008C41F1" w:rsidP="00A314DA"/>
          <w:p w:rsidR="008C41F1" w:rsidRDefault="008C41F1" w:rsidP="00A314DA"/>
        </w:tc>
      </w:tr>
    </w:tbl>
    <w:p w:rsidR="008C41F1" w:rsidRDefault="008C41F1" w:rsidP="008C41F1"/>
    <w:p w:rsidR="008C41F1" w:rsidRDefault="008C41F1" w:rsidP="008C41F1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693"/>
        <w:gridCol w:w="3402"/>
        <w:gridCol w:w="1276"/>
        <w:gridCol w:w="3969"/>
        <w:gridCol w:w="1276"/>
      </w:tblGrid>
      <w:tr w:rsidR="008C41F1" w:rsidRPr="00AD661E" w:rsidTr="00A314DA">
        <w:tc>
          <w:tcPr>
            <w:tcW w:w="1526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D661E">
              <w:rPr>
                <w:b/>
                <w:lang w:val="en-US"/>
              </w:rPr>
              <w:t>Hazard</w:t>
            </w:r>
          </w:p>
        </w:tc>
        <w:tc>
          <w:tcPr>
            <w:tcW w:w="2693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D661E">
              <w:rPr>
                <w:b/>
                <w:lang w:val="en-US"/>
              </w:rPr>
              <w:t>Description of circumstances</w:t>
            </w:r>
          </w:p>
        </w:tc>
        <w:tc>
          <w:tcPr>
            <w:tcW w:w="3402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D661E">
              <w:rPr>
                <w:b/>
                <w:lang w:val="en-US"/>
              </w:rPr>
              <w:t>Identified risks (including people at risk</w:t>
            </w:r>
          </w:p>
        </w:tc>
        <w:tc>
          <w:tcPr>
            <w:tcW w:w="1276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D661E">
              <w:rPr>
                <w:b/>
                <w:lang w:val="en-US"/>
              </w:rPr>
              <w:t>Level of risk</w:t>
            </w:r>
          </w:p>
        </w:tc>
        <w:tc>
          <w:tcPr>
            <w:tcW w:w="3969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D661E">
              <w:rPr>
                <w:b/>
                <w:lang w:val="en-US"/>
              </w:rPr>
              <w:t>Control measures</w:t>
            </w:r>
          </w:p>
        </w:tc>
        <w:tc>
          <w:tcPr>
            <w:tcW w:w="1276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D661E">
              <w:rPr>
                <w:b/>
                <w:lang w:val="en-US"/>
              </w:rPr>
              <w:t>Revised level of risk</w:t>
            </w:r>
          </w:p>
        </w:tc>
      </w:tr>
      <w:tr w:rsidR="008C41F1" w:rsidRPr="00AD661E" w:rsidTr="00A314DA">
        <w:trPr>
          <w:trHeight w:val="1889"/>
        </w:trPr>
        <w:tc>
          <w:tcPr>
            <w:tcW w:w="1526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Inappropriate behavior from the public</w:t>
            </w:r>
          </w:p>
        </w:tc>
        <w:tc>
          <w:tcPr>
            <w:tcW w:w="2693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Volunteer shadowing member of staff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 xml:space="preserve">Or volunteer delivering 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Members of the public can display inappropriate behavior to the risk of volunteer of staff.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Substance misuse is a highly emotive subject matter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Medium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No incidents recorded to date</w:t>
            </w:r>
          </w:p>
        </w:tc>
        <w:tc>
          <w:tcPr>
            <w:tcW w:w="3969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There should be two members of the workforce – staff or volunteers present at any one time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All staff have de-escalation training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Low</w:t>
            </w:r>
          </w:p>
        </w:tc>
      </w:tr>
      <w:tr w:rsidR="008C41F1" w:rsidRPr="00AD661E" w:rsidTr="00A314DA">
        <w:trPr>
          <w:trHeight w:val="1889"/>
        </w:trPr>
        <w:tc>
          <w:tcPr>
            <w:tcW w:w="1526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lastRenderedPageBreak/>
              <w:t>Table, banners and other display equipment</w:t>
            </w:r>
          </w:p>
        </w:tc>
        <w:tc>
          <w:tcPr>
            <w:tcW w:w="2693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Handing or moving tables, stands or display equipment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Equipment not properly secured can fall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Volunteers, staff and members of the public</w:t>
            </w:r>
          </w:p>
        </w:tc>
        <w:tc>
          <w:tcPr>
            <w:tcW w:w="1276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Low</w:t>
            </w:r>
          </w:p>
        </w:tc>
        <w:tc>
          <w:tcPr>
            <w:tcW w:w="3969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Manual Handling training is available to all staff and volunteers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Equipment should be checked prior to taking off base.  Damaged equipment should not be used.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 xml:space="preserve">Non </w:t>
            </w:r>
            <w:proofErr w:type="spellStart"/>
            <w:r w:rsidRPr="00AD661E">
              <w:rPr>
                <w:lang w:val="en-US"/>
              </w:rPr>
              <w:t>Drugaid</w:t>
            </w:r>
            <w:proofErr w:type="spellEnd"/>
            <w:r w:rsidRPr="00AD661E">
              <w:rPr>
                <w:lang w:val="en-US"/>
              </w:rPr>
              <w:t xml:space="preserve"> locations will have their own risk assessments and regulations around the use of equipment, location of stand/ stall and volunteers or staff should </w:t>
            </w:r>
            <w:proofErr w:type="spellStart"/>
            <w:r w:rsidRPr="00AD661E">
              <w:rPr>
                <w:lang w:val="en-US"/>
              </w:rPr>
              <w:t>by</w:t>
            </w:r>
            <w:proofErr w:type="spellEnd"/>
            <w:r w:rsidRPr="00AD661E">
              <w:rPr>
                <w:lang w:val="en-US"/>
              </w:rPr>
              <w:t xml:space="preserve"> guided by these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AD661E">
              <w:rPr>
                <w:lang w:val="en-US"/>
              </w:rPr>
              <w:t>Drugaid</w:t>
            </w:r>
            <w:proofErr w:type="spellEnd"/>
            <w:r w:rsidRPr="00AD661E">
              <w:rPr>
                <w:lang w:val="en-US"/>
              </w:rPr>
              <w:t xml:space="preserve"> Cymru has public liability insurance</w:t>
            </w: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C41F1" w:rsidRPr="00AD661E" w:rsidRDefault="008C41F1" w:rsidP="00A314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661E">
              <w:rPr>
                <w:lang w:val="en-US"/>
              </w:rPr>
              <w:t>Low</w:t>
            </w:r>
          </w:p>
        </w:tc>
      </w:tr>
    </w:tbl>
    <w:p w:rsidR="008C41F1" w:rsidRDefault="008C41F1" w:rsidP="00383171">
      <w:pPr>
        <w:jc w:val="both"/>
        <w:rPr>
          <w:sz w:val="22"/>
          <w:szCs w:val="22"/>
        </w:rPr>
      </w:pPr>
    </w:p>
    <w:p w:rsidR="008C41F1" w:rsidRDefault="008C41F1" w:rsidP="00383171">
      <w:pPr>
        <w:jc w:val="both"/>
        <w:rPr>
          <w:sz w:val="22"/>
          <w:szCs w:val="22"/>
        </w:rPr>
      </w:pPr>
    </w:p>
    <w:sectPr w:rsidR="008C41F1" w:rsidSect="008C41F1">
      <w:pgSz w:w="16838" w:h="11906" w:orient="landscape"/>
      <w:pgMar w:top="1077" w:right="113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51" w:rsidRDefault="00BF4551" w:rsidP="005150EA">
      <w:pPr>
        <w:spacing w:before="0" w:after="0" w:line="240" w:lineRule="auto"/>
      </w:pPr>
      <w:r>
        <w:separator/>
      </w:r>
    </w:p>
  </w:endnote>
  <w:endnote w:type="continuationSeparator" w:id="0">
    <w:p w:rsidR="00BF4551" w:rsidRDefault="00BF4551" w:rsidP="005150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51" w:rsidRDefault="00BF4551" w:rsidP="005150EA">
      <w:pPr>
        <w:spacing w:before="0" w:after="0" w:line="240" w:lineRule="auto"/>
      </w:pPr>
      <w:r>
        <w:separator/>
      </w:r>
    </w:p>
  </w:footnote>
  <w:footnote w:type="continuationSeparator" w:id="0">
    <w:p w:rsidR="00BF4551" w:rsidRDefault="00BF4551" w:rsidP="005150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C91"/>
    <w:multiLevelType w:val="hybridMultilevel"/>
    <w:tmpl w:val="F0FA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2A7"/>
    <w:multiLevelType w:val="hybridMultilevel"/>
    <w:tmpl w:val="EEFA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4F45"/>
    <w:multiLevelType w:val="hybridMultilevel"/>
    <w:tmpl w:val="B430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7269"/>
    <w:multiLevelType w:val="hybridMultilevel"/>
    <w:tmpl w:val="C9F0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2685"/>
    <w:multiLevelType w:val="hybridMultilevel"/>
    <w:tmpl w:val="D89A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5744"/>
    <w:multiLevelType w:val="hybridMultilevel"/>
    <w:tmpl w:val="46D8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0AFC"/>
    <w:multiLevelType w:val="hybridMultilevel"/>
    <w:tmpl w:val="32A0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1588"/>
    <w:multiLevelType w:val="hybridMultilevel"/>
    <w:tmpl w:val="5DAE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E4347"/>
    <w:multiLevelType w:val="hybridMultilevel"/>
    <w:tmpl w:val="7FBE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4F88"/>
    <w:multiLevelType w:val="hybridMultilevel"/>
    <w:tmpl w:val="A34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754D8"/>
    <w:multiLevelType w:val="hybridMultilevel"/>
    <w:tmpl w:val="5E8E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71664"/>
    <w:multiLevelType w:val="hybridMultilevel"/>
    <w:tmpl w:val="3F26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911B7"/>
    <w:multiLevelType w:val="hybridMultilevel"/>
    <w:tmpl w:val="BBF4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C7BE8"/>
    <w:multiLevelType w:val="hybridMultilevel"/>
    <w:tmpl w:val="6A34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240CA"/>
    <w:multiLevelType w:val="hybridMultilevel"/>
    <w:tmpl w:val="8E282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1139"/>
    <w:multiLevelType w:val="hybridMultilevel"/>
    <w:tmpl w:val="EDDC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6D7B"/>
    <w:multiLevelType w:val="hybridMultilevel"/>
    <w:tmpl w:val="BB84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E7CA8"/>
    <w:multiLevelType w:val="hybridMultilevel"/>
    <w:tmpl w:val="CDD6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15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BC"/>
    <w:rsid w:val="00055289"/>
    <w:rsid w:val="000936DA"/>
    <w:rsid w:val="000A5074"/>
    <w:rsid w:val="000F1659"/>
    <w:rsid w:val="00195EF9"/>
    <w:rsid w:val="001D0CB0"/>
    <w:rsid w:val="001D283D"/>
    <w:rsid w:val="001E6576"/>
    <w:rsid w:val="0024204A"/>
    <w:rsid w:val="00253AD1"/>
    <w:rsid w:val="002A5C4D"/>
    <w:rsid w:val="0032121A"/>
    <w:rsid w:val="00383171"/>
    <w:rsid w:val="003F70E2"/>
    <w:rsid w:val="0041184E"/>
    <w:rsid w:val="00456386"/>
    <w:rsid w:val="004F447C"/>
    <w:rsid w:val="004F4D95"/>
    <w:rsid w:val="005150EA"/>
    <w:rsid w:val="00585F89"/>
    <w:rsid w:val="005D452B"/>
    <w:rsid w:val="006F136A"/>
    <w:rsid w:val="00713A9E"/>
    <w:rsid w:val="00755E97"/>
    <w:rsid w:val="007719B8"/>
    <w:rsid w:val="007E0E32"/>
    <w:rsid w:val="00815872"/>
    <w:rsid w:val="00885E0F"/>
    <w:rsid w:val="008C41F1"/>
    <w:rsid w:val="008D2054"/>
    <w:rsid w:val="0090441C"/>
    <w:rsid w:val="0093759A"/>
    <w:rsid w:val="00956713"/>
    <w:rsid w:val="00996D2F"/>
    <w:rsid w:val="009C01B3"/>
    <w:rsid w:val="009F0D80"/>
    <w:rsid w:val="00B146BC"/>
    <w:rsid w:val="00B46705"/>
    <w:rsid w:val="00BA4F15"/>
    <w:rsid w:val="00BC2184"/>
    <w:rsid w:val="00BF4551"/>
    <w:rsid w:val="00C3200B"/>
    <w:rsid w:val="00C95906"/>
    <w:rsid w:val="00D115C7"/>
    <w:rsid w:val="00D80F5F"/>
    <w:rsid w:val="00DA5157"/>
    <w:rsid w:val="00F51839"/>
    <w:rsid w:val="00FD7D30"/>
    <w:rsid w:val="00FE5C9E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1FFA"/>
  <w15:chartTrackingRefBased/>
  <w15:docId w15:val="{ACD68364-A0AA-43AA-922B-356F78B1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F5F"/>
  </w:style>
  <w:style w:type="paragraph" w:styleId="Heading1">
    <w:name w:val="heading 1"/>
    <w:basedOn w:val="Normal"/>
    <w:next w:val="Normal"/>
    <w:link w:val="Heading1Char"/>
    <w:uiPriority w:val="9"/>
    <w:qFormat/>
    <w:rsid w:val="00D80F5F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F5F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F5F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F5F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F5F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F5F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F5F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F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F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F5F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0F5F"/>
    <w:rPr>
      <w:caps/>
      <w:spacing w:val="15"/>
      <w:shd w:val="clear" w:color="auto" w:fill="C0FF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0F5F"/>
    <w:rPr>
      <w:caps/>
      <w:color w:val="00625C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B146BC"/>
    <w:pPr>
      <w:ind w:left="720"/>
      <w:contextualSpacing/>
    </w:pPr>
  </w:style>
  <w:style w:type="paragraph" w:styleId="NoSpacing">
    <w:name w:val="No Spacing"/>
    <w:uiPriority w:val="1"/>
    <w:qFormat/>
    <w:rsid w:val="00D80F5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80F5F"/>
    <w:rPr>
      <w:caps/>
      <w:color w:val="0094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F5F"/>
    <w:rPr>
      <w:caps/>
      <w:color w:val="0094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F5F"/>
    <w:rPr>
      <w:caps/>
      <w:color w:val="0094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F5F"/>
    <w:rPr>
      <w:caps/>
      <w:color w:val="0094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F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F5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F5F"/>
    <w:rPr>
      <w:b/>
      <w:bCs/>
      <w:color w:val="0094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0F5F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F5F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F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0F5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0F5F"/>
    <w:rPr>
      <w:b/>
      <w:bCs/>
    </w:rPr>
  </w:style>
  <w:style w:type="character" w:styleId="Emphasis">
    <w:name w:val="Emphasis"/>
    <w:uiPriority w:val="20"/>
    <w:qFormat/>
    <w:rsid w:val="00D80F5F"/>
    <w:rPr>
      <w:caps/>
      <w:color w:val="00625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80F5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0F5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F5F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F5F"/>
    <w:rPr>
      <w:color w:val="00C6BB" w:themeColor="accent1"/>
      <w:sz w:val="24"/>
      <w:szCs w:val="24"/>
    </w:rPr>
  </w:style>
  <w:style w:type="character" w:styleId="SubtleEmphasis">
    <w:name w:val="Subtle Emphasis"/>
    <w:uiPriority w:val="19"/>
    <w:qFormat/>
    <w:rsid w:val="00D80F5F"/>
    <w:rPr>
      <w:i/>
      <w:iCs/>
      <w:color w:val="00625C" w:themeColor="accent1" w:themeShade="7F"/>
    </w:rPr>
  </w:style>
  <w:style w:type="character" w:styleId="IntenseEmphasis">
    <w:name w:val="Intense Emphasis"/>
    <w:uiPriority w:val="21"/>
    <w:qFormat/>
    <w:rsid w:val="00D80F5F"/>
    <w:rPr>
      <w:b/>
      <w:bCs/>
      <w:caps/>
      <w:color w:val="00625C" w:themeColor="accent1" w:themeShade="7F"/>
      <w:spacing w:val="10"/>
    </w:rPr>
  </w:style>
  <w:style w:type="character" w:styleId="SubtleReference">
    <w:name w:val="Subtle Reference"/>
    <w:uiPriority w:val="31"/>
    <w:qFormat/>
    <w:rsid w:val="00D80F5F"/>
    <w:rPr>
      <w:b/>
      <w:bCs/>
      <w:color w:val="00C6BB" w:themeColor="accent1"/>
    </w:rPr>
  </w:style>
  <w:style w:type="character" w:styleId="IntenseReference">
    <w:name w:val="Intense Reference"/>
    <w:uiPriority w:val="32"/>
    <w:qFormat/>
    <w:rsid w:val="00D80F5F"/>
    <w:rPr>
      <w:b/>
      <w:bCs/>
      <w:i/>
      <w:iCs/>
      <w:caps/>
      <w:color w:val="00C6BB" w:themeColor="accent1"/>
    </w:rPr>
  </w:style>
  <w:style w:type="character" w:styleId="BookTitle">
    <w:name w:val="Book Title"/>
    <w:uiPriority w:val="33"/>
    <w:qFormat/>
    <w:rsid w:val="00D80F5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F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50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EA"/>
  </w:style>
  <w:style w:type="paragraph" w:styleId="Footer">
    <w:name w:val="footer"/>
    <w:basedOn w:val="Normal"/>
    <w:link w:val="FooterChar"/>
    <w:uiPriority w:val="99"/>
    <w:unhideWhenUsed/>
    <w:rsid w:val="005150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EA"/>
  </w:style>
  <w:style w:type="paragraph" w:styleId="BalloonText">
    <w:name w:val="Balloon Text"/>
    <w:basedOn w:val="Normal"/>
    <w:link w:val="BalloonTextChar"/>
    <w:uiPriority w:val="99"/>
    <w:semiHidden/>
    <w:unhideWhenUsed/>
    <w:rsid w:val="00195E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5970-9FB1-49D7-B82A-328583EA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Katrin.Thomas</dc:creator>
  <cp:keywords/>
  <dc:description/>
  <cp:lastModifiedBy>Natalie Savery</cp:lastModifiedBy>
  <cp:revision>2</cp:revision>
  <cp:lastPrinted>2017-02-02T13:32:00Z</cp:lastPrinted>
  <dcterms:created xsi:type="dcterms:W3CDTF">2019-01-18T12:50:00Z</dcterms:created>
  <dcterms:modified xsi:type="dcterms:W3CDTF">2019-01-18T12:50:00Z</dcterms:modified>
</cp:coreProperties>
</file>